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D1" w:rsidRDefault="003A21D1" w:rsidP="003A21D1">
      <w:pPr>
        <w:pBdr>
          <w:bottom w:val="single" w:sz="4" w:space="1" w:color="auto"/>
        </w:pBdr>
        <w:tabs>
          <w:tab w:val="right" w:pos="9000"/>
        </w:tabs>
      </w:pPr>
      <w:r>
        <w:t>21 Sept 2016</w:t>
      </w:r>
      <w:r>
        <w:tab/>
        <w:t>3:70-AP</w:t>
      </w:r>
    </w:p>
    <w:p w:rsidR="003A21D1" w:rsidRDefault="003A21D1" w:rsidP="003A21D1">
      <w:pPr>
        <w:tabs>
          <w:tab w:val="right" w:pos="9000"/>
        </w:tabs>
      </w:pPr>
    </w:p>
    <w:p w:rsidR="003A21D1" w:rsidRDefault="003A21D1" w:rsidP="003A21D1">
      <w:pPr>
        <w:pStyle w:val="Heading1"/>
      </w:pPr>
      <w:smartTag w:uri="urn:schemas-microsoft-com:office:smarttags" w:element="place">
        <w:smartTag w:uri="urn:schemas-microsoft-com:office:smarttags" w:element="PlaceName">
          <w:r>
            <w:t>General</w:t>
          </w:r>
        </w:smartTag>
        <w:r>
          <w:t xml:space="preserve"> </w:t>
        </w:r>
        <w:smartTag w:uri="urn:schemas-microsoft-com:office:smarttags" w:element="PlaceType">
          <w:r>
            <w:t>School</w:t>
          </w:r>
        </w:smartTag>
      </w:smartTag>
      <w:r>
        <w:t xml:space="preserve"> Administration</w:t>
      </w:r>
    </w:p>
    <w:p w:rsidR="003A21D1" w:rsidRDefault="003A21D1" w:rsidP="003A21D1">
      <w:pPr>
        <w:pStyle w:val="Heading2"/>
        <w:rPr>
          <w:spacing w:val="-2"/>
        </w:rPr>
      </w:pPr>
      <w:r>
        <w:t>Administrative Procedure - Succession Plan</w:t>
      </w:r>
    </w:p>
    <w:p w:rsidR="003A21D1" w:rsidRDefault="003A21D1" w:rsidP="003A21D1">
      <w:pPr>
        <w:pStyle w:val="BodyText"/>
      </w:pPr>
      <w:r>
        <w:t>If the Superintendent, Building Principal, or other administrator is temporarily unavailable, the succession of authority and responsibility of the respective office shall be as stated below. If the first person on the succession list is unavailable, the second person shall be the responsible person, and so on, in order through the list. The designated individual shall communicate with the School Board President in cases of importance and/or emergency.</w:t>
      </w:r>
    </w:p>
    <w:p w:rsidR="003A21D1" w:rsidRDefault="003A21D1" w:rsidP="003A21D1">
      <w:pPr>
        <w:pStyle w:val="SUBHEADING"/>
      </w:pPr>
      <w:r>
        <w:t>Superintendent</w:t>
      </w:r>
    </w:p>
    <w:tbl>
      <w:tblPr>
        <w:tblW w:w="0" w:type="auto"/>
        <w:tblInd w:w="108" w:type="dxa"/>
        <w:tblLayout w:type="fixed"/>
        <w:tblLook w:val="0000" w:firstRow="0" w:lastRow="0" w:firstColumn="0" w:lastColumn="0" w:noHBand="0" w:noVBand="0"/>
      </w:tblPr>
      <w:tblGrid>
        <w:gridCol w:w="630"/>
        <w:gridCol w:w="5580"/>
      </w:tblGrid>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Pr>
          <w:p w:rsidR="003A21D1" w:rsidRDefault="003A21D1" w:rsidP="001842AC">
            <w:pPr>
              <w:numPr>
                <w:ilvl w:val="12"/>
                <w:numId w:val="0"/>
              </w:numPr>
              <w:spacing w:before="240"/>
            </w:pPr>
            <w:r>
              <w:t>Jeff Bourne, Principal</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tcBorders>
          </w:tcPr>
          <w:p w:rsidR="003A21D1" w:rsidRDefault="003A21D1" w:rsidP="001842AC">
            <w:pPr>
              <w:numPr>
                <w:ilvl w:val="12"/>
                <w:numId w:val="0"/>
              </w:numPr>
              <w:spacing w:before="240"/>
            </w:pPr>
            <w:r>
              <w:t>Carl Spath, Principal</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tcBorders>
          </w:tcPr>
          <w:p w:rsidR="003A21D1" w:rsidRDefault="003A21D1" w:rsidP="001842AC">
            <w:pPr>
              <w:numPr>
                <w:ilvl w:val="12"/>
                <w:numId w:val="0"/>
              </w:numPr>
              <w:spacing w:before="240"/>
            </w:pPr>
            <w:r>
              <w:t>Scott Cowell, AD</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tcBorders>
          </w:tcPr>
          <w:p w:rsidR="003A21D1" w:rsidRDefault="003A21D1" w:rsidP="001842AC">
            <w:pPr>
              <w:numPr>
                <w:ilvl w:val="12"/>
                <w:numId w:val="0"/>
              </w:numPr>
              <w:spacing w:before="240"/>
            </w:pPr>
            <w:r>
              <w:t xml:space="preserve">Cindy </w:t>
            </w:r>
            <w:proofErr w:type="spellStart"/>
            <w:r>
              <w:t>Lightle</w:t>
            </w:r>
            <w:proofErr w:type="spellEnd"/>
            <w:r>
              <w:t>, Teacher</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bottom w:val="single" w:sz="6" w:space="0" w:color="auto"/>
            </w:tcBorders>
          </w:tcPr>
          <w:p w:rsidR="003A21D1" w:rsidRDefault="003A21D1" w:rsidP="001842AC">
            <w:pPr>
              <w:spacing w:before="240"/>
            </w:pPr>
            <w:r>
              <w:t>Chris Sheehan, Teacher</w:t>
            </w:r>
          </w:p>
        </w:tc>
      </w:tr>
    </w:tbl>
    <w:p w:rsidR="003A21D1" w:rsidRDefault="003A21D1" w:rsidP="003A21D1">
      <w:pPr>
        <w:pStyle w:val="SUBHEADING"/>
        <w:spacing w:before="360"/>
      </w:pPr>
      <w:r>
        <w:t>Building Principal</w:t>
      </w:r>
    </w:p>
    <w:tbl>
      <w:tblPr>
        <w:tblW w:w="0" w:type="auto"/>
        <w:tblInd w:w="108" w:type="dxa"/>
        <w:tblLayout w:type="fixed"/>
        <w:tblLook w:val="0000" w:firstRow="0" w:lastRow="0" w:firstColumn="0" w:lastColumn="0" w:noHBand="0" w:noVBand="0"/>
      </w:tblPr>
      <w:tblGrid>
        <w:gridCol w:w="630"/>
        <w:gridCol w:w="5580"/>
      </w:tblGrid>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Pr>
          <w:p w:rsidR="003A21D1" w:rsidRDefault="003A21D1" w:rsidP="001842AC">
            <w:pPr>
              <w:numPr>
                <w:ilvl w:val="12"/>
                <w:numId w:val="0"/>
              </w:numPr>
              <w:spacing w:before="240"/>
            </w:pPr>
            <w:r>
              <w:t>Scott Cowell, AD</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tcBorders>
          </w:tcPr>
          <w:p w:rsidR="003A21D1" w:rsidRDefault="003A21D1" w:rsidP="001842AC">
            <w:pPr>
              <w:numPr>
                <w:ilvl w:val="12"/>
                <w:numId w:val="0"/>
              </w:numPr>
              <w:spacing w:before="240"/>
            </w:pPr>
            <w:r>
              <w:t xml:space="preserve">Cindy </w:t>
            </w:r>
            <w:proofErr w:type="spellStart"/>
            <w:r>
              <w:t>Lightle</w:t>
            </w:r>
            <w:proofErr w:type="spellEnd"/>
            <w:r>
              <w:t xml:space="preserve"> or Pat Apps</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tcBorders>
          </w:tcPr>
          <w:p w:rsidR="003A21D1" w:rsidRDefault="003A21D1" w:rsidP="001842AC">
            <w:pPr>
              <w:numPr>
                <w:ilvl w:val="12"/>
                <w:numId w:val="0"/>
              </w:numPr>
              <w:spacing w:before="240"/>
            </w:pPr>
            <w:r>
              <w:t xml:space="preserve">Chris Sheehan or </w:t>
            </w:r>
            <w:proofErr w:type="spellStart"/>
            <w:r>
              <w:t>Genny</w:t>
            </w:r>
            <w:proofErr w:type="spellEnd"/>
            <w:r>
              <w:t xml:space="preserve"> Stauffer</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tcBorders>
          </w:tcPr>
          <w:p w:rsidR="003A21D1" w:rsidRDefault="003A21D1" w:rsidP="001842AC">
            <w:pPr>
              <w:numPr>
                <w:ilvl w:val="12"/>
                <w:numId w:val="0"/>
              </w:numPr>
              <w:spacing w:before="240"/>
            </w:pPr>
            <w:r>
              <w:t xml:space="preserve">Quincy </w:t>
            </w:r>
            <w:proofErr w:type="spellStart"/>
            <w:r>
              <w:t>Landreth</w:t>
            </w:r>
            <w:proofErr w:type="spellEnd"/>
            <w:r>
              <w:t xml:space="preserve"> or Garrett White</w:t>
            </w:r>
          </w:p>
        </w:tc>
      </w:tr>
      <w:tr w:rsidR="003A21D1" w:rsidTr="001842AC">
        <w:tblPrEx>
          <w:tblCellMar>
            <w:top w:w="0" w:type="dxa"/>
            <w:bottom w:w="0" w:type="dxa"/>
          </w:tblCellMar>
        </w:tblPrEx>
        <w:tc>
          <w:tcPr>
            <w:tcW w:w="630" w:type="dxa"/>
          </w:tcPr>
          <w:p w:rsidR="003A21D1" w:rsidRDefault="003A21D1" w:rsidP="001842AC">
            <w:pPr>
              <w:spacing w:before="240"/>
              <w:ind w:left="360"/>
            </w:pPr>
          </w:p>
        </w:tc>
        <w:tc>
          <w:tcPr>
            <w:tcW w:w="5580" w:type="dxa"/>
            <w:tcBorders>
              <w:top w:val="single" w:sz="6" w:space="0" w:color="auto"/>
              <w:bottom w:val="single" w:sz="6" w:space="0" w:color="auto"/>
            </w:tcBorders>
          </w:tcPr>
          <w:p w:rsidR="003A21D1" w:rsidRDefault="003A21D1" w:rsidP="001842AC">
            <w:pPr>
              <w:spacing w:before="240"/>
            </w:pPr>
            <w:r>
              <w:t>Donna Thurston or Sarah Bauer-Herron</w:t>
            </w:r>
          </w:p>
        </w:tc>
      </w:tr>
    </w:tbl>
    <w:p w:rsidR="00AD3CAF" w:rsidRDefault="00AD3CAF" w:rsidP="003A21D1">
      <w:bookmarkStart w:id="0" w:name="_GoBack"/>
      <w:bookmarkEnd w:id="0"/>
    </w:p>
    <w:sectPr w:rsidR="00AD3CA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3A21D1">
    <w:pPr>
      <w:pStyle w:val="Footer"/>
      <w:tabs>
        <w:tab w:val="clear" w:pos="4320"/>
        <w:tab w:val="clear" w:pos="8640"/>
        <w:tab w:val="right" w:pos="9000"/>
      </w:tabs>
    </w:pPr>
  </w:p>
  <w:p w:rsidR="00890FDB" w:rsidRDefault="003A21D1">
    <w:pPr>
      <w:pStyle w:val="Footer"/>
      <w:tabs>
        <w:tab w:val="clear" w:pos="4320"/>
        <w:tab w:val="clear" w:pos="8640"/>
        <w:tab w:val="right" w:pos="9000"/>
      </w:tabs>
    </w:pPr>
    <w:r>
      <w:t>3:70-AP</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890FDB" w:rsidRDefault="003A21D1"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3A21D1"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3A21D1"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3A21D1"/>
    <w:rsid w:val="00AD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21D1"/>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3A21D1"/>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1D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A21D1"/>
    <w:rPr>
      <w:rFonts w:ascii="Arial" w:eastAsia="Times New Roman" w:hAnsi="Arial" w:cs="Times New Roman"/>
      <w:b/>
      <w:kern w:val="28"/>
      <w:szCs w:val="20"/>
      <w:u w:val="single"/>
    </w:rPr>
  </w:style>
  <w:style w:type="paragraph" w:styleId="BodyText">
    <w:name w:val="Body Text"/>
    <w:basedOn w:val="Normal"/>
    <w:link w:val="BodyTextChar"/>
    <w:rsid w:val="003A21D1"/>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3A21D1"/>
    <w:rPr>
      <w:rFonts w:ascii="Times New Roman" w:eastAsia="Times New Roman" w:hAnsi="Times New Roman" w:cs="Times New Roman"/>
      <w:kern w:val="28"/>
      <w:szCs w:val="20"/>
    </w:rPr>
  </w:style>
  <w:style w:type="paragraph" w:customStyle="1" w:styleId="CROSSREF">
    <w:name w:val="CROSS REF"/>
    <w:basedOn w:val="Normal"/>
    <w:link w:val="CROSSREFChar"/>
    <w:rsid w:val="003A21D1"/>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3A21D1"/>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Footer">
    <w:name w:val="footer"/>
    <w:basedOn w:val="Normal"/>
    <w:link w:val="FooterChar"/>
    <w:rsid w:val="003A21D1"/>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3A21D1"/>
    <w:rPr>
      <w:rFonts w:ascii="Times New Roman" w:eastAsia="Times New Roman" w:hAnsi="Times New Roman" w:cs="Times New Roman"/>
      <w:kern w:val="28"/>
      <w:szCs w:val="20"/>
    </w:rPr>
  </w:style>
  <w:style w:type="character" w:customStyle="1" w:styleId="SUBHEADINGChar">
    <w:name w:val="SUBHEADING Char"/>
    <w:link w:val="SUBHEADING"/>
    <w:rsid w:val="003A21D1"/>
    <w:rPr>
      <w:rFonts w:ascii="Times New Roman" w:eastAsia="Times New Roman" w:hAnsi="Times New Roman" w:cs="Times New Roman"/>
      <w:kern w:val="28"/>
      <w:szCs w:val="20"/>
      <w:u w:val="single"/>
    </w:rPr>
  </w:style>
  <w:style w:type="character" w:customStyle="1" w:styleId="CROSSREFChar">
    <w:name w:val="CROSS REF Char"/>
    <w:link w:val="CROSSREF"/>
    <w:rsid w:val="003A21D1"/>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2016-08-25T17:29:00Z</dcterms:created>
  <dcterms:modified xsi:type="dcterms:W3CDTF">2016-08-25T17:30:00Z</dcterms:modified>
</cp:coreProperties>
</file>